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F8" w:rsidRDefault="007306F8" w:rsidP="007306F8">
      <w:pPr>
        <w:shd w:val="clear" w:color="auto" w:fill="FFFFFF"/>
        <w:spacing w:before="300" w:after="300"/>
        <w:rPr>
          <w:rFonts w:ascii="Open Sans" w:hAnsi="Open Sans"/>
          <w:b/>
          <w:bCs/>
          <w:color w:val="222222"/>
          <w:sz w:val="36"/>
          <w:szCs w:val="36"/>
          <w:lang w:eastAsia="es-AR"/>
        </w:rPr>
      </w:pPr>
      <w:r>
        <w:rPr>
          <w:rFonts w:ascii="Open Sans" w:hAnsi="Open Sans"/>
          <w:b/>
          <w:bCs/>
          <w:noProof/>
          <w:color w:val="222222"/>
          <w:sz w:val="36"/>
          <w:szCs w:val="36"/>
          <w:lang w:eastAsia="es-AR"/>
        </w:rPr>
        <w:pict w14:anchorId="43EF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pt;margin-top:-36pt;width:87pt;height:64.5pt;z-index:251658240">
            <v:imagedata r:id="rId5" o:title=""/>
          </v:shape>
        </w:pict>
      </w:r>
    </w:p>
    <w:p w:rsidR="007306F8" w:rsidRPr="007306F8" w:rsidRDefault="007306F8" w:rsidP="007306F8">
      <w:pPr>
        <w:shd w:val="clear" w:color="auto" w:fill="FFFFFF"/>
        <w:spacing w:before="300" w:after="300"/>
        <w:rPr>
          <w:rFonts w:asciiTheme="minorHAnsi" w:hAnsiTheme="minorHAnsi" w:cstheme="minorHAnsi"/>
          <w:b/>
          <w:bCs/>
          <w:color w:val="222222"/>
          <w:sz w:val="32"/>
          <w:szCs w:val="32"/>
          <w:lang w:eastAsia="es-AR"/>
        </w:rPr>
      </w:pPr>
      <w:r w:rsidRPr="007306F8">
        <w:rPr>
          <w:rFonts w:asciiTheme="minorHAnsi" w:hAnsiTheme="minorHAnsi" w:cstheme="minorHAnsi"/>
          <w:b/>
          <w:bCs/>
          <w:color w:val="222222"/>
          <w:sz w:val="32"/>
          <w:szCs w:val="32"/>
          <w:lang w:eastAsia="es-AR"/>
        </w:rPr>
        <w:t>Decreto PEN N° 513/2025: El Gobierno Nacional reduce impuestos a la importación de maquinarias y herramientas industriales</w:t>
      </w:r>
    </w:p>
    <w:p w:rsidR="007306F8" w:rsidRDefault="007306F8" w:rsidP="007306F8">
      <w:pPr>
        <w:shd w:val="clear" w:color="auto" w:fill="FFFFFF"/>
        <w:rPr>
          <w:rFonts w:ascii="Open Sans" w:hAnsi="Open Sans"/>
          <w:color w:val="323232"/>
          <w:sz w:val="20"/>
          <w:szCs w:val="20"/>
          <w:lang w:eastAsia="es-AR"/>
        </w:rPr>
      </w:pPr>
      <w:r>
        <w:rPr>
          <w:rFonts w:ascii="Open Sans" w:hAnsi="Open Sans"/>
          <w:color w:val="6A6A6A"/>
          <w:sz w:val="20"/>
          <w:szCs w:val="20"/>
          <w:lang w:eastAsia="es-AR"/>
        </w:rPr>
        <w:t>29/07/2025</w:t>
      </w:r>
    </w:p>
    <w:p w:rsidR="007306F8" w:rsidRDefault="007306F8" w:rsidP="007306F8">
      <w:pPr>
        <w:shd w:val="clear" w:color="auto" w:fill="0069B0"/>
        <w:rPr>
          <w:rFonts w:ascii="Open Sans" w:hAnsi="Open Sans"/>
          <w:color w:val="323232"/>
          <w:sz w:val="20"/>
          <w:szCs w:val="20"/>
          <w:lang w:eastAsia="es-AR"/>
        </w:rPr>
      </w:pPr>
    </w:p>
    <w:p w:rsidR="007306F8" w:rsidRDefault="007306F8" w:rsidP="007306F8">
      <w:pPr>
        <w:shd w:val="clear" w:color="auto" w:fill="FFFFFF"/>
        <w:spacing w:after="225"/>
        <w:rPr>
          <w:rFonts w:ascii="Open Sans" w:hAnsi="Open Sans"/>
          <w:color w:val="323232"/>
          <w:sz w:val="20"/>
          <w:szCs w:val="20"/>
          <w:lang w:eastAsia="es-AR"/>
        </w:rPr>
      </w:pPr>
      <w:r>
        <w:rPr>
          <w:rFonts w:ascii="Open Sans" w:hAnsi="Open Sans"/>
          <w:color w:val="323232"/>
          <w:sz w:val="20"/>
          <w:szCs w:val="20"/>
          <w:lang w:eastAsia="es-AR"/>
        </w:rPr>
        <w:t>Mediante la publicación del Decreto N° 513 en el Boletín Oficial de HOY (29/07/2025), el Poder Ejecutivo Nacional modifica la VII Enmienda con el fin de equilibrar niveles de protección con los incentivos para la producción y mejorar la competitividad y el precio al que acceden los consumidores a ciertos bienes, reduciendo a 12,6% los aranceles de 27 bienes de capital, que hasta ahora tributaban de 20% a 35%.</w:t>
      </w:r>
    </w:p>
    <w:p w:rsidR="007306F8" w:rsidRDefault="007306F8" w:rsidP="007306F8">
      <w:pPr>
        <w:shd w:val="clear" w:color="auto" w:fill="FFFFFF"/>
        <w:jc w:val="both"/>
        <w:rPr>
          <w:rFonts w:ascii="Open Sans" w:hAnsi="Open Sans"/>
          <w:color w:val="222222"/>
          <w:sz w:val="20"/>
          <w:szCs w:val="20"/>
          <w:lang w:eastAsia="es-AR"/>
        </w:rPr>
      </w:pPr>
      <w:r>
        <w:rPr>
          <w:rFonts w:ascii="Arial" w:hAnsi="Arial" w:cs="Arial"/>
          <w:color w:val="000000"/>
          <w:sz w:val="20"/>
          <w:szCs w:val="20"/>
          <w:lang w:eastAsia="es-AR"/>
        </w:rPr>
        <w:t>De esta forma, se modifica el tratamiento arancelario de la “Lista Nacional de Excepciones al Arancel Externo Común” (Anexo II), los “Bienes de Capital con Derecho de Importación Extrazona Diferencial” (Anexo III) y sobre la “Lista de Alícuotas Sujetas al Incremento Arancelario Transitorio” (Anexo V) del Decreto N° 557/2023 (VII Enmienda).</w:t>
      </w:r>
    </w:p>
    <w:p w:rsidR="007306F8" w:rsidRDefault="007306F8" w:rsidP="007306F8">
      <w:pPr>
        <w:shd w:val="clear" w:color="auto" w:fill="FFFFFF"/>
        <w:jc w:val="both"/>
        <w:rPr>
          <w:rFonts w:ascii="Arial" w:hAnsi="Arial" w:cs="Arial"/>
          <w:color w:val="323232"/>
          <w:sz w:val="20"/>
          <w:szCs w:val="20"/>
          <w:lang w:eastAsia="es-AR"/>
        </w:rPr>
      </w:pPr>
    </w:p>
    <w:p w:rsidR="007306F8" w:rsidRDefault="007306F8" w:rsidP="007306F8">
      <w:pPr>
        <w:shd w:val="clear" w:color="auto" w:fill="FFFFFF"/>
        <w:jc w:val="both"/>
        <w:rPr>
          <w:rFonts w:ascii="Open Sans" w:hAnsi="Open Sans"/>
          <w:color w:val="222222"/>
          <w:sz w:val="20"/>
          <w:szCs w:val="20"/>
          <w:lang w:eastAsia="es-AR"/>
        </w:rPr>
      </w:pPr>
      <w:r>
        <w:rPr>
          <w:rFonts w:ascii="Arial" w:hAnsi="Arial" w:cs="Arial"/>
          <w:color w:val="000000"/>
          <w:sz w:val="20"/>
          <w:szCs w:val="20"/>
          <w:lang w:eastAsia="es-AR"/>
        </w:rPr>
        <w:t>Consecuentemente, se reducen los aranceles de maquinarias para la industria metalúrgica (de corte láser, plegadoras, prensas), depuradores de gases y equipos de limpieza de cañerías utilizados en la industria petrolera, ascensores, ventiladores industriales, maquinaría industrial para fabricar helados, hornos de panadería, máquinas de cortar el pelo y de esquilar, bombas centrífugas y acumuladores eléctricos, de iones de litio, interconectados conformando hasta 6 módulos, de tensión máxima igual a 1.500 V por módulo, esto permitirá almacenar energía en momentos de alta demanda.</w:t>
      </w:r>
    </w:p>
    <w:p w:rsidR="007306F8" w:rsidRDefault="007306F8" w:rsidP="007306F8">
      <w:pPr>
        <w:shd w:val="clear" w:color="auto" w:fill="FFFFFF"/>
        <w:jc w:val="both"/>
        <w:rPr>
          <w:rFonts w:ascii="Arial" w:hAnsi="Arial" w:cs="Arial"/>
          <w:color w:val="323232"/>
          <w:sz w:val="20"/>
          <w:szCs w:val="20"/>
          <w:lang w:eastAsia="es-AR"/>
        </w:rPr>
      </w:pPr>
    </w:p>
    <w:p w:rsidR="007306F8" w:rsidRDefault="007306F8" w:rsidP="007306F8">
      <w:pPr>
        <w:shd w:val="clear" w:color="auto" w:fill="FFFFFF"/>
        <w:jc w:val="both"/>
        <w:rPr>
          <w:rFonts w:ascii="Open Sans" w:hAnsi="Open Sans"/>
          <w:color w:val="222222"/>
          <w:sz w:val="20"/>
          <w:szCs w:val="20"/>
          <w:lang w:eastAsia="es-AR"/>
        </w:rPr>
      </w:pPr>
      <w:r>
        <w:rPr>
          <w:rFonts w:ascii="Arial" w:hAnsi="Arial" w:cs="Arial"/>
          <w:color w:val="000000"/>
          <w:sz w:val="20"/>
          <w:szCs w:val="20"/>
          <w:lang w:eastAsia="es-AR"/>
        </w:rPr>
        <w:t>Según datos oficiales, los bienes de capital representan aproximadamente el 20% del total de las importaciones argentinas. En 2024, más de 14.000 empresas importaron 9.979 millones de dólares de este tipo de bienes, y entre enero y abril de 2025, más de 11.000 por un monto de 4.862 millones. Los principales productos demandados son equipos de transporte, herramientas de telecomunicación y computadoras.</w:t>
      </w:r>
    </w:p>
    <w:p w:rsidR="007306F8" w:rsidRDefault="007306F8" w:rsidP="007306F8">
      <w:pPr>
        <w:shd w:val="clear" w:color="auto" w:fill="FFFFFF"/>
        <w:jc w:val="both"/>
        <w:rPr>
          <w:rFonts w:ascii="Arial" w:hAnsi="Arial" w:cs="Arial"/>
          <w:color w:val="323232"/>
          <w:sz w:val="20"/>
          <w:szCs w:val="20"/>
          <w:lang w:eastAsia="es-AR"/>
        </w:rPr>
      </w:pPr>
    </w:p>
    <w:p w:rsidR="007306F8" w:rsidRDefault="007306F8" w:rsidP="007306F8">
      <w:pPr>
        <w:shd w:val="clear" w:color="auto" w:fill="FFFFFF"/>
        <w:jc w:val="both"/>
        <w:rPr>
          <w:rFonts w:ascii="Open Sans" w:hAnsi="Open Sans"/>
          <w:color w:val="222222"/>
          <w:sz w:val="20"/>
          <w:szCs w:val="20"/>
          <w:lang w:eastAsia="es-AR"/>
        </w:rPr>
      </w:pPr>
      <w:r>
        <w:rPr>
          <w:rFonts w:ascii="Arial" w:hAnsi="Arial" w:cs="Arial"/>
          <w:color w:val="000000"/>
          <w:sz w:val="20"/>
          <w:szCs w:val="20"/>
          <w:lang w:eastAsia="es-AR"/>
        </w:rPr>
        <w:t>A través de esta nueva medida, estas maquinarias y herramientas podrían adquirirse a un costo más accesible y así mejorar su productividad.</w:t>
      </w:r>
    </w:p>
    <w:p w:rsidR="007306F8" w:rsidRDefault="007306F8" w:rsidP="007306F8">
      <w:pPr>
        <w:shd w:val="clear" w:color="auto" w:fill="FFFFFF"/>
        <w:jc w:val="both"/>
        <w:rPr>
          <w:rFonts w:ascii="Arial" w:hAnsi="Arial" w:cs="Arial"/>
          <w:color w:val="323232"/>
          <w:sz w:val="20"/>
          <w:szCs w:val="20"/>
          <w:lang w:eastAsia="es-AR"/>
        </w:rPr>
      </w:pPr>
    </w:p>
    <w:p w:rsidR="007306F8" w:rsidRDefault="007306F8" w:rsidP="007306F8">
      <w:pPr>
        <w:shd w:val="clear" w:color="auto" w:fill="FFFFFF"/>
        <w:jc w:val="both"/>
        <w:rPr>
          <w:rFonts w:ascii="Open Sans" w:hAnsi="Open Sans"/>
          <w:color w:val="222222"/>
          <w:sz w:val="20"/>
          <w:szCs w:val="20"/>
          <w:lang w:eastAsia="es-AR"/>
        </w:rPr>
      </w:pPr>
      <w:r>
        <w:rPr>
          <w:rFonts w:ascii="Arial" w:hAnsi="Arial" w:cs="Arial"/>
          <w:color w:val="000000"/>
          <w:sz w:val="20"/>
          <w:szCs w:val="20"/>
          <w:lang w:eastAsia="es-AR"/>
        </w:rPr>
        <w:t>Cabe destacar que, la medida comenzará a regir a partir del día siguiente al de su publicación en el Boletín Oficial, es decir a partir del miércoles 30/07/2025; excepto para las mercaderías comprendidas en las posiciones arancelarias de la Nomenclatura Común del Mercosur (N.C.M.) 2934.99.22 y 8450.20.20, que mantendrán el tratamiento arancelario aplicable a la fecha de la entrada en vigencia del Decreto, en tanto que se encuentren en dicho momento en alguna de las siguientes situaciones:</w:t>
      </w:r>
    </w:p>
    <w:p w:rsidR="007306F8" w:rsidRDefault="007306F8" w:rsidP="007306F8">
      <w:pPr>
        <w:shd w:val="clear" w:color="auto" w:fill="FFFFFF"/>
        <w:jc w:val="both"/>
        <w:rPr>
          <w:rFonts w:ascii="Arial" w:hAnsi="Arial" w:cs="Arial"/>
          <w:color w:val="323232"/>
          <w:sz w:val="20"/>
          <w:szCs w:val="20"/>
          <w:lang w:eastAsia="es-AR"/>
        </w:rPr>
      </w:pPr>
    </w:p>
    <w:p w:rsidR="007306F8" w:rsidRDefault="007306F8" w:rsidP="007306F8">
      <w:pPr>
        <w:shd w:val="clear" w:color="auto" w:fill="FFFFFF"/>
        <w:jc w:val="both"/>
        <w:rPr>
          <w:rFonts w:ascii="Open Sans" w:hAnsi="Open Sans"/>
          <w:color w:val="222222"/>
          <w:sz w:val="20"/>
          <w:szCs w:val="20"/>
          <w:lang w:eastAsia="es-AR"/>
        </w:rPr>
      </w:pPr>
      <w:r>
        <w:rPr>
          <w:rFonts w:ascii="Arial" w:hAnsi="Arial" w:cs="Arial"/>
          <w:color w:val="000000"/>
          <w:sz w:val="20"/>
          <w:szCs w:val="20"/>
          <w:lang w:eastAsia="es-AR"/>
        </w:rPr>
        <w:t>a. Hayan sido expedidas con destino final al territorio aduanero por tierra, agua o aire y cargadas en el respectivo medio de transporte; o</w:t>
      </w:r>
    </w:p>
    <w:p w:rsidR="007306F8" w:rsidRDefault="007306F8" w:rsidP="007306F8">
      <w:pPr>
        <w:shd w:val="clear" w:color="auto" w:fill="FFFFFF"/>
        <w:jc w:val="both"/>
        <w:rPr>
          <w:rFonts w:ascii="Arial" w:hAnsi="Arial" w:cs="Arial"/>
          <w:color w:val="323232"/>
          <w:sz w:val="20"/>
          <w:szCs w:val="20"/>
          <w:lang w:eastAsia="es-AR"/>
        </w:rPr>
      </w:pPr>
    </w:p>
    <w:p w:rsidR="007306F8" w:rsidRDefault="007306F8" w:rsidP="007306F8">
      <w:pPr>
        <w:shd w:val="clear" w:color="auto" w:fill="FFFFFF"/>
        <w:jc w:val="both"/>
        <w:rPr>
          <w:rFonts w:ascii="Open Sans" w:hAnsi="Open Sans"/>
          <w:color w:val="222222"/>
          <w:sz w:val="20"/>
          <w:szCs w:val="20"/>
          <w:lang w:eastAsia="es-AR"/>
        </w:rPr>
      </w:pPr>
      <w:r>
        <w:rPr>
          <w:rFonts w:ascii="Arial" w:hAnsi="Arial" w:cs="Arial"/>
          <w:color w:val="000000"/>
          <w:sz w:val="20"/>
          <w:szCs w:val="20"/>
          <w:lang w:eastAsia="es-AR"/>
        </w:rPr>
        <w:t>b. Se encuentren en zona primaria aduanera por haber arribado con anterioridad al territorio aduanero.</w:t>
      </w:r>
    </w:p>
    <w:p w:rsidR="007306F8" w:rsidRDefault="007306F8" w:rsidP="007306F8">
      <w:pPr>
        <w:shd w:val="clear" w:color="auto" w:fill="FFFFFF"/>
        <w:jc w:val="both"/>
        <w:rPr>
          <w:rFonts w:ascii="Arial" w:hAnsi="Arial" w:cs="Arial"/>
          <w:color w:val="323232"/>
          <w:sz w:val="20"/>
          <w:szCs w:val="20"/>
          <w:lang w:eastAsia="es-AR"/>
        </w:rPr>
      </w:pPr>
    </w:p>
    <w:p w:rsidR="007306F8" w:rsidRDefault="007306F8" w:rsidP="007306F8">
      <w:pPr>
        <w:shd w:val="clear" w:color="auto" w:fill="FFFFFF"/>
        <w:jc w:val="both"/>
        <w:rPr>
          <w:rFonts w:ascii="Open Sans" w:hAnsi="Open Sans"/>
          <w:color w:val="222222"/>
          <w:sz w:val="20"/>
          <w:szCs w:val="20"/>
          <w:lang w:eastAsia="es-AR"/>
        </w:rPr>
      </w:pPr>
      <w:r>
        <w:rPr>
          <w:rFonts w:ascii="Arial" w:hAnsi="Arial" w:cs="Arial"/>
          <w:color w:val="000000"/>
          <w:sz w:val="20"/>
          <w:szCs w:val="20"/>
          <w:lang w:eastAsia="es-AR"/>
        </w:rPr>
        <w:t>A tales fines, la solicitud de importación deberá registrarse ante el Servicio Aduanero dentro del plazo de SESENTA (60) días corridos, a partir de la fecha de entrada en vigencia del Decreto (30/07/2025). </w:t>
      </w:r>
    </w:p>
    <w:p w:rsidR="007306F8" w:rsidRDefault="007306F8" w:rsidP="007306F8">
      <w:bookmarkStart w:id="0" w:name="_GoBack"/>
      <w:bookmarkEnd w:id="0"/>
    </w:p>
    <w:p w:rsidR="007306F8" w:rsidRDefault="007306F8" w:rsidP="007306F8"/>
    <w:tbl>
      <w:tblPr>
        <w:tblW w:w="11616" w:type="dxa"/>
        <w:shd w:val="clear" w:color="auto" w:fill="FFFFFF"/>
        <w:tblCellMar>
          <w:left w:w="0" w:type="dxa"/>
          <w:right w:w="0" w:type="dxa"/>
        </w:tblCellMar>
        <w:tblLook w:val="04A0" w:firstRow="1" w:lastRow="0" w:firstColumn="1" w:lastColumn="0" w:noHBand="0" w:noVBand="1"/>
      </w:tblPr>
      <w:tblGrid>
        <w:gridCol w:w="1275"/>
        <w:gridCol w:w="835"/>
        <w:gridCol w:w="2983"/>
        <w:gridCol w:w="977"/>
        <w:gridCol w:w="3670"/>
        <w:gridCol w:w="1876"/>
      </w:tblGrid>
      <w:tr w:rsidR="007306F8" w:rsidTr="007306F8">
        <w:trPr>
          <w:trHeight w:val="878"/>
        </w:trPr>
        <w:tc>
          <w:tcPr>
            <w:tcW w:w="546" w:type="pct"/>
            <w:vMerge w:val="restart"/>
            <w:tcBorders>
              <w:top w:val="single" w:sz="8" w:space="0" w:color="DDDDDD"/>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b/>
                <w:bCs/>
                <w:color w:val="333333"/>
                <w:sz w:val="23"/>
                <w:szCs w:val="23"/>
                <w:lang w:eastAsia="es-AR"/>
              </w:rPr>
              <w:t>NCM</w:t>
            </w:r>
          </w:p>
        </w:tc>
        <w:tc>
          <w:tcPr>
            <w:tcW w:w="1648" w:type="pct"/>
            <w:gridSpan w:val="2"/>
            <w:tcBorders>
              <w:top w:val="single" w:sz="8" w:space="0" w:color="DDDDDD"/>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b/>
                <w:bCs/>
                <w:color w:val="333333"/>
                <w:sz w:val="23"/>
                <w:szCs w:val="23"/>
                <w:lang w:eastAsia="es-AR"/>
              </w:rPr>
              <w:t>SITUACION ANTERIOR</w:t>
            </w:r>
          </w:p>
        </w:tc>
        <w:tc>
          <w:tcPr>
            <w:tcW w:w="2013" w:type="pct"/>
            <w:gridSpan w:val="2"/>
            <w:tcBorders>
              <w:top w:val="single" w:sz="8" w:space="0" w:color="DDDDDD"/>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b/>
                <w:bCs/>
                <w:color w:val="333333"/>
                <w:sz w:val="23"/>
                <w:szCs w:val="23"/>
                <w:lang w:eastAsia="es-AR"/>
              </w:rPr>
              <w:t>SITUACION ACTUAL</w:t>
            </w:r>
          </w:p>
        </w:tc>
        <w:tc>
          <w:tcPr>
            <w:tcW w:w="794" w:type="pct"/>
            <w:vMerge w:val="restart"/>
            <w:tcBorders>
              <w:top w:val="single" w:sz="8" w:space="0" w:color="DDDDDD"/>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b/>
                <w:bCs/>
                <w:color w:val="333333"/>
                <w:sz w:val="23"/>
                <w:szCs w:val="23"/>
                <w:lang w:eastAsia="es-AR"/>
              </w:rPr>
              <w:t>ANEXO Dec.557/23</w:t>
            </w:r>
          </w:p>
        </w:tc>
      </w:tr>
      <w:tr w:rsidR="007306F8" w:rsidTr="007306F8">
        <w:tc>
          <w:tcPr>
            <w:tcW w:w="0" w:type="auto"/>
            <w:vMerge/>
            <w:tcBorders>
              <w:top w:val="single" w:sz="8" w:space="0" w:color="DDDDDD"/>
              <w:left w:val="single" w:sz="8" w:space="0" w:color="DDDDDD"/>
              <w:bottom w:val="single" w:sz="8" w:space="0" w:color="DDDDDD"/>
              <w:right w:val="single" w:sz="8" w:space="0" w:color="DDDDDD"/>
            </w:tcBorders>
            <w:shd w:val="clear" w:color="auto" w:fill="FFFFFF"/>
            <w:vAlign w:val="center"/>
            <w:hideMark/>
          </w:tcPr>
          <w:p w:rsidR="007306F8" w:rsidRDefault="007306F8">
            <w:pPr>
              <w:rPr>
                <w:rFonts w:ascii="Roboto" w:hAnsi="Roboto"/>
                <w:color w:val="333333"/>
                <w:sz w:val="23"/>
                <w:szCs w:val="23"/>
                <w:lang w:eastAsia="es-AR"/>
              </w:rPr>
            </w:pP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b/>
                <w:bCs/>
                <w:color w:val="333333"/>
                <w:sz w:val="23"/>
                <w:szCs w:val="23"/>
                <w:lang w:eastAsia="es-AR"/>
              </w:rPr>
              <w:t>DIE</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b/>
                <w:bCs/>
                <w:color w:val="333333"/>
                <w:sz w:val="23"/>
                <w:szCs w:val="23"/>
                <w:lang w:eastAsia="es-AR"/>
              </w:rPr>
              <w:t>OBSERVACIONES</w:t>
            </w: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b/>
                <w:bCs/>
                <w:color w:val="333333"/>
                <w:sz w:val="23"/>
                <w:szCs w:val="23"/>
                <w:lang w:eastAsia="es-AR"/>
              </w:rPr>
              <w:t>DIE</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b/>
                <w:bCs/>
                <w:color w:val="333333"/>
                <w:sz w:val="23"/>
                <w:szCs w:val="23"/>
                <w:lang w:eastAsia="es-AR"/>
              </w:rPr>
              <w:t>OBSERVACIONES</w:t>
            </w:r>
          </w:p>
        </w:tc>
        <w:tc>
          <w:tcPr>
            <w:tcW w:w="0" w:type="auto"/>
            <w:vMerge/>
            <w:tcBorders>
              <w:top w:val="single" w:sz="8" w:space="0" w:color="DDDDDD"/>
              <w:left w:val="nil"/>
              <w:bottom w:val="single" w:sz="8" w:space="0" w:color="DDDDDD"/>
              <w:right w:val="single" w:sz="8" w:space="0" w:color="DDDDDD"/>
            </w:tcBorders>
            <w:shd w:val="clear" w:color="auto" w:fill="FFFFFF"/>
            <w:vAlign w:val="center"/>
            <w:hideMark/>
          </w:tcPr>
          <w:p w:rsidR="007306F8" w:rsidRDefault="007306F8">
            <w:pPr>
              <w:rPr>
                <w:rFonts w:ascii="Roboto" w:hAnsi="Roboto"/>
                <w:color w:val="333333"/>
                <w:sz w:val="23"/>
                <w:szCs w:val="23"/>
                <w:lang w:eastAsia="es-AR"/>
              </w:rPr>
            </w:pP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2208.30.20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20%</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V - Incremento arancelario transitorio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lastRenderedPageBreak/>
              <w:t>2934.99.22</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0%</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10,8%</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 (LE)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3926.90.90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20%</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Excepto contenedores para residuos de capacidad igual o superior a 500 litros que tributarán un Derecho de Importación Extrazona (D.I.E.) del 18%.</w:t>
            </w: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V - Incremento arancelario transitorio - INCORPORA OBSERVACION</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8413.70.90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30%</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8414.59.90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20%</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Excepto: a) Ventiladores axiales con motor eléctrico de conmutación electrónica ("</w:t>
            </w:r>
            <w:proofErr w:type="spellStart"/>
            <w:r>
              <w:rPr>
                <w:rFonts w:ascii="Roboto" w:hAnsi="Roboto"/>
                <w:color w:val="333333"/>
                <w:sz w:val="23"/>
                <w:szCs w:val="23"/>
                <w:lang w:eastAsia="es-AR"/>
              </w:rPr>
              <w:t>Electronic</w:t>
            </w:r>
            <w:proofErr w:type="spellEnd"/>
            <w:r>
              <w:rPr>
                <w:rFonts w:ascii="Roboto" w:hAnsi="Roboto"/>
                <w:color w:val="333333"/>
                <w:sz w:val="23"/>
                <w:szCs w:val="23"/>
                <w:lang w:eastAsia="es-AR"/>
              </w:rPr>
              <w:t xml:space="preserve"> </w:t>
            </w:r>
            <w:proofErr w:type="spellStart"/>
            <w:r>
              <w:rPr>
                <w:rFonts w:ascii="Roboto" w:hAnsi="Roboto"/>
                <w:color w:val="333333"/>
                <w:sz w:val="23"/>
                <w:szCs w:val="23"/>
                <w:lang w:eastAsia="es-AR"/>
              </w:rPr>
              <w:t>Conmuted</w:t>
            </w:r>
            <w:proofErr w:type="spellEnd"/>
            <w:r>
              <w:rPr>
                <w:rFonts w:ascii="Roboto" w:hAnsi="Roboto"/>
                <w:color w:val="333333"/>
                <w:sz w:val="23"/>
                <w:szCs w:val="23"/>
                <w:lang w:eastAsia="es-AR"/>
              </w:rPr>
              <w:t>"), de los tipos utilizados en unidades condensadoras de aparatos para acondicionamiento de aire que tributarán un Derecho de Importación Extrazona (D.I.E.) del 12,6%. b) Ventiladores centrífugos, con motor eléctrico de conmutación electrónica ("</w:t>
            </w:r>
            <w:proofErr w:type="spellStart"/>
            <w:r>
              <w:rPr>
                <w:rFonts w:ascii="Roboto" w:hAnsi="Roboto"/>
                <w:color w:val="333333"/>
                <w:sz w:val="23"/>
                <w:szCs w:val="23"/>
                <w:lang w:eastAsia="es-AR"/>
              </w:rPr>
              <w:t>Electronic</w:t>
            </w:r>
            <w:proofErr w:type="spellEnd"/>
            <w:r>
              <w:rPr>
                <w:rFonts w:ascii="Roboto" w:hAnsi="Roboto"/>
                <w:color w:val="333333"/>
                <w:sz w:val="23"/>
                <w:szCs w:val="23"/>
                <w:lang w:eastAsia="es-AR"/>
              </w:rPr>
              <w:t xml:space="preserve"> </w:t>
            </w:r>
            <w:proofErr w:type="spellStart"/>
            <w:r>
              <w:rPr>
                <w:rFonts w:ascii="Roboto" w:hAnsi="Roboto"/>
                <w:color w:val="333333"/>
                <w:sz w:val="23"/>
                <w:szCs w:val="23"/>
                <w:lang w:eastAsia="es-AR"/>
              </w:rPr>
              <w:t>Conmuted</w:t>
            </w:r>
            <w:proofErr w:type="spellEnd"/>
            <w:r>
              <w:rPr>
                <w:rFonts w:ascii="Roboto" w:hAnsi="Roboto"/>
                <w:color w:val="333333"/>
                <w:sz w:val="23"/>
                <w:szCs w:val="23"/>
                <w:lang w:eastAsia="es-AR"/>
              </w:rPr>
              <w:t>"), de los tipos utilizados en unidades evaporadoras de aparatos para acondicionamiento de aire que tributarán un Derecho de Importación Extrazona (D.I.E.) del 12,6%.</w:t>
            </w: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8417.20.00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8418.50.90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20%</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8418.69.10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25%</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8418.69.99</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20%</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 xml:space="preserve">Excepto grupos frigoríficos de compresión, con </w:t>
            </w:r>
            <w:r>
              <w:rPr>
                <w:rFonts w:ascii="Roboto" w:hAnsi="Roboto"/>
                <w:color w:val="333333"/>
                <w:sz w:val="23"/>
                <w:szCs w:val="23"/>
                <w:lang w:eastAsia="es-AR"/>
              </w:rPr>
              <w:lastRenderedPageBreak/>
              <w:t>compresor de tornillo o centrífugo, condensador y evaporador, de capacidad superior a 500000 frigorías/hora, de los tipos utilizados para el enfriamiento de líquidos (</w:t>
            </w:r>
            <w:proofErr w:type="spellStart"/>
            <w:r>
              <w:rPr>
                <w:rFonts w:ascii="Roboto" w:hAnsi="Roboto"/>
                <w:color w:val="333333"/>
                <w:sz w:val="23"/>
                <w:szCs w:val="23"/>
                <w:lang w:eastAsia="es-AR"/>
              </w:rPr>
              <w:t>chiller</w:t>
            </w:r>
            <w:proofErr w:type="spellEnd"/>
            <w:r>
              <w:rPr>
                <w:rFonts w:ascii="Roboto" w:hAnsi="Roboto"/>
                <w:color w:val="333333"/>
                <w:sz w:val="23"/>
                <w:szCs w:val="23"/>
                <w:lang w:eastAsia="es-AR"/>
              </w:rPr>
              <w:t>) en instalaciones de aire acondicionado.</w:t>
            </w: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lastRenderedPageBreak/>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 xml:space="preserve">Excepto grupos frigoríficos de compresión, con compresor de </w:t>
            </w:r>
            <w:r>
              <w:rPr>
                <w:rFonts w:ascii="Roboto" w:hAnsi="Roboto"/>
                <w:color w:val="333333"/>
                <w:sz w:val="23"/>
                <w:szCs w:val="23"/>
                <w:lang w:eastAsia="es-AR"/>
              </w:rPr>
              <w:lastRenderedPageBreak/>
              <w:t>tornillo o centrífugo, condensador y evaporador, de capacidad superior a 500000 frigorías/hora, de los tipos utilizados para el enfriamiento de líquidos (</w:t>
            </w:r>
            <w:proofErr w:type="spellStart"/>
            <w:r>
              <w:rPr>
                <w:rFonts w:ascii="Roboto" w:hAnsi="Roboto"/>
                <w:color w:val="333333"/>
                <w:sz w:val="23"/>
                <w:szCs w:val="23"/>
                <w:lang w:eastAsia="es-AR"/>
              </w:rPr>
              <w:t>chiller</w:t>
            </w:r>
            <w:proofErr w:type="spellEnd"/>
            <w:r>
              <w:rPr>
                <w:rFonts w:ascii="Roboto" w:hAnsi="Roboto"/>
                <w:color w:val="333333"/>
                <w:sz w:val="23"/>
                <w:szCs w:val="23"/>
                <w:lang w:eastAsia="es-AR"/>
              </w:rPr>
              <w:t>) en instalaciones de aire acondicionado.</w:t>
            </w: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lastRenderedPageBreak/>
              <w:t xml:space="preserve">III (BK diferencial) - </w:t>
            </w:r>
            <w:r>
              <w:rPr>
                <w:rFonts w:ascii="Roboto" w:hAnsi="Roboto"/>
                <w:color w:val="333333"/>
                <w:sz w:val="23"/>
                <w:szCs w:val="23"/>
                <w:lang w:eastAsia="es-AR"/>
              </w:rPr>
              <w:lastRenderedPageBreak/>
              <w:t>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lastRenderedPageBreak/>
              <w:t>8419.33.00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8419.39.00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8419.40.90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8421.39.90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8424.30.10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Hidrolavadoras</w:t>
            </w:r>
            <w:proofErr w:type="spellEnd"/>
            <w:r>
              <w:rPr>
                <w:rFonts w:ascii="Roboto" w:hAnsi="Roboto"/>
                <w:color w:val="333333"/>
                <w:sz w:val="23"/>
                <w:szCs w:val="23"/>
                <w:lang w:eastAsia="es-AR"/>
              </w:rPr>
              <w:t xml:space="preserve"> portátiles</w:t>
            </w: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8425.11.00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8428.10.00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25%</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8430.69.90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8432.39.90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lastRenderedPageBreak/>
              <w:t>8433.20.90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Excepto guadañadoras (segadoras) con dispositivo acondicionador que tributarán un Derecho de Importación Extrazona (D.I.E.) del 12,6%.</w:t>
            </w: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8450.20.20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20%</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Excepto de capacidad unitaria, expresada en peso de ropa seca superior a 13 kg que tributarán un Derecho de Importación Extrazona (D.I.E.) del 12,6%.</w:t>
            </w: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V (Incremento arancelario transitorio) - ALTA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8450.20.90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20%</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Excepto máquina de lavar ropa, accionada mediante motor eléctrico trifásico, de peso superior a 200 kg y una capacidad unitaria, expresada en peso de ropa seca, superior a 20 kg que tributará un Derecho de Importación Extrazona (D.I.E.) del 12,6%.</w:t>
            </w: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8462.29.00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8462.61.00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8462.69.00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8462.90.00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8465.92.11</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20%</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8502.13.19</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Unicamente</w:t>
            </w:r>
            <w:proofErr w:type="spellEnd"/>
            <w:r>
              <w:rPr>
                <w:rFonts w:ascii="Roboto" w:hAnsi="Roboto"/>
                <w:color w:val="333333"/>
                <w:sz w:val="23"/>
                <w:szCs w:val="23"/>
                <w:lang w:eastAsia="es-AR"/>
              </w:rPr>
              <w:t xml:space="preserve"> grupos electrógenos con motor de émbolo (pistón) de encendido por compresión (motores diésel o </w:t>
            </w:r>
            <w:proofErr w:type="spellStart"/>
            <w:r>
              <w:rPr>
                <w:rFonts w:ascii="Roboto" w:hAnsi="Roboto"/>
                <w:color w:val="333333"/>
                <w:sz w:val="23"/>
                <w:szCs w:val="23"/>
                <w:lang w:eastAsia="es-AR"/>
              </w:rPr>
              <w:t>semi</w:t>
            </w:r>
            <w:proofErr w:type="spellEnd"/>
            <w:r>
              <w:rPr>
                <w:rFonts w:ascii="Roboto" w:hAnsi="Roboto"/>
                <w:color w:val="333333"/>
                <w:sz w:val="23"/>
                <w:szCs w:val="23"/>
                <w:lang w:eastAsia="es-AR"/>
              </w:rPr>
              <w:t xml:space="preserve">-diésel), de corriente </w:t>
            </w:r>
            <w:r>
              <w:rPr>
                <w:rFonts w:ascii="Roboto" w:hAnsi="Roboto"/>
                <w:color w:val="333333"/>
                <w:sz w:val="23"/>
                <w:szCs w:val="23"/>
                <w:lang w:eastAsia="es-AR"/>
              </w:rPr>
              <w:lastRenderedPageBreak/>
              <w:t xml:space="preserve">alterna, de potencia superior o igual a 5.375 </w:t>
            </w:r>
            <w:proofErr w:type="spellStart"/>
            <w:r>
              <w:rPr>
                <w:rFonts w:ascii="Roboto" w:hAnsi="Roboto"/>
                <w:color w:val="333333"/>
                <w:sz w:val="23"/>
                <w:szCs w:val="23"/>
                <w:lang w:eastAsia="es-AR"/>
              </w:rPr>
              <w:t>kVA</w:t>
            </w:r>
            <w:proofErr w:type="spellEnd"/>
            <w:r>
              <w:rPr>
                <w:rFonts w:ascii="Roboto" w:hAnsi="Roboto"/>
                <w:color w:val="333333"/>
                <w:sz w:val="23"/>
                <w:szCs w:val="23"/>
                <w:lang w:eastAsia="es-AR"/>
              </w:rPr>
              <w:t>.</w:t>
            </w: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lastRenderedPageBreak/>
              <w:t>III (BK diferencial) - ALTA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lastRenderedPageBreak/>
              <w:t>8507.60.00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18%</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0%</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Unicamente</w:t>
            </w:r>
            <w:proofErr w:type="spellEnd"/>
            <w:r>
              <w:rPr>
                <w:rFonts w:ascii="Roboto" w:hAnsi="Roboto"/>
                <w:color w:val="333333"/>
                <w:sz w:val="23"/>
                <w:szCs w:val="23"/>
                <w:lang w:eastAsia="es-AR"/>
              </w:rPr>
              <w:t xml:space="preserve"> acumuladores interconectados conformando hasta 6 módulos, de tensión máxima igual a 1.500 V por módulo, con equipamientos para extinción de incendios y de refrigeración y aparato de control y mando; todo ello alojado en un contenedor de metal.</w:t>
            </w: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 (LE) - ALTA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8609.00.00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20%</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vMerge w:val="restar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8711.20.10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0%</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Unicamente</w:t>
            </w:r>
            <w:proofErr w:type="spellEnd"/>
            <w:r>
              <w:rPr>
                <w:rFonts w:ascii="Roboto" w:hAnsi="Roboto"/>
                <w:color w:val="333333"/>
                <w:sz w:val="23"/>
                <w:szCs w:val="23"/>
                <w:lang w:eastAsia="es-AR"/>
              </w:rPr>
              <w:t xml:space="preserve"> motocicletas incompletas, totalmente desarmadas (IKD), en los términos de lo dispuesto por el Dec.460/23.</w:t>
            </w: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0%</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Unicamente</w:t>
            </w:r>
            <w:proofErr w:type="spellEnd"/>
            <w:r>
              <w:rPr>
                <w:rFonts w:ascii="Roboto" w:hAnsi="Roboto"/>
                <w:color w:val="333333"/>
                <w:sz w:val="23"/>
                <w:szCs w:val="23"/>
                <w:lang w:eastAsia="es-AR"/>
              </w:rPr>
              <w:t xml:space="preserve"> motocicletas y demás velocípedos incompletos, totalmente desarmados (IKD), en los términos de lo dispuesto por el Dec.460/23 y sus modificaciones.</w:t>
            </w: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 (LE) - MODIFICA TEXTO</w:t>
            </w:r>
          </w:p>
        </w:tc>
      </w:tr>
      <w:tr w:rsidR="007306F8" w:rsidTr="007306F8">
        <w:tc>
          <w:tcPr>
            <w:tcW w:w="0" w:type="auto"/>
            <w:vMerge/>
            <w:tcBorders>
              <w:top w:val="nil"/>
              <w:left w:val="single" w:sz="8" w:space="0" w:color="DDDDDD"/>
              <w:bottom w:val="single" w:sz="8" w:space="0" w:color="DDDDDD"/>
              <w:right w:val="single" w:sz="8" w:space="0" w:color="DDDDDD"/>
            </w:tcBorders>
            <w:shd w:val="clear" w:color="auto" w:fill="FFFFFF"/>
            <w:vAlign w:val="center"/>
            <w:hideMark/>
          </w:tcPr>
          <w:p w:rsidR="007306F8" w:rsidRDefault="007306F8">
            <w:pPr>
              <w:rPr>
                <w:rFonts w:ascii="Roboto" w:hAnsi="Roboto"/>
                <w:color w:val="333333"/>
                <w:sz w:val="23"/>
                <w:szCs w:val="23"/>
                <w:lang w:eastAsia="es-AR"/>
              </w:rPr>
            </w:pP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Unicamente</w:t>
            </w:r>
            <w:proofErr w:type="spellEnd"/>
            <w:r>
              <w:rPr>
                <w:rFonts w:ascii="Roboto" w:hAnsi="Roboto"/>
                <w:color w:val="333333"/>
                <w:sz w:val="23"/>
                <w:szCs w:val="23"/>
                <w:lang w:eastAsia="es-AR"/>
              </w:rPr>
              <w:t xml:space="preserve"> motocicletas incompletas, totalmente desarmadas (IKD), en los términos de lo dispuesto por el Dec.460/23.</w:t>
            </w: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15%</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Unicamente</w:t>
            </w:r>
            <w:proofErr w:type="spellEnd"/>
            <w:r>
              <w:rPr>
                <w:rFonts w:ascii="Roboto" w:hAnsi="Roboto"/>
                <w:color w:val="333333"/>
                <w:sz w:val="23"/>
                <w:szCs w:val="23"/>
                <w:lang w:eastAsia="es-AR"/>
              </w:rPr>
              <w:t>: a) motocicletas y demás velocípedos incompletos, totalmente desarmados (IKD), no comprendidos en los términos de lo dispuesto por el Dec.460/23 y sus modificaciones; b) Completas, totalmente desarmadas (CKD)</w:t>
            </w: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II (LE) - MODIFICA TEXTO</w:t>
            </w:r>
          </w:p>
        </w:tc>
      </w:tr>
      <w:tr w:rsidR="007306F8" w:rsidTr="007306F8">
        <w:tc>
          <w:tcPr>
            <w:tcW w:w="546" w:type="pct"/>
            <w:vMerge w:val="restar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8711.20.20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0%</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Unicamente</w:t>
            </w:r>
            <w:proofErr w:type="spellEnd"/>
            <w:r>
              <w:rPr>
                <w:rFonts w:ascii="Roboto" w:hAnsi="Roboto"/>
                <w:color w:val="333333"/>
                <w:sz w:val="23"/>
                <w:szCs w:val="23"/>
                <w:lang w:eastAsia="es-AR"/>
              </w:rPr>
              <w:t xml:space="preserve"> motocicletas incompletas, totalmente desarmadas (IKD), en los términos de lo dispuesto por el Dec.460/23.</w:t>
            </w: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0%</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Unicamente</w:t>
            </w:r>
            <w:proofErr w:type="spellEnd"/>
            <w:r>
              <w:rPr>
                <w:rFonts w:ascii="Roboto" w:hAnsi="Roboto"/>
                <w:color w:val="333333"/>
                <w:sz w:val="23"/>
                <w:szCs w:val="23"/>
                <w:lang w:eastAsia="es-AR"/>
              </w:rPr>
              <w:t xml:space="preserve"> motocicletas y demás velocípedos incompletos, totalmente desarmados (IKD), en los términos de lo dispuesto por el Dec.460/23 y sus modificaciones.</w:t>
            </w: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 (LE) - MODIFICA TEXTO</w:t>
            </w:r>
          </w:p>
        </w:tc>
      </w:tr>
      <w:tr w:rsidR="007306F8" w:rsidTr="007306F8">
        <w:tc>
          <w:tcPr>
            <w:tcW w:w="0" w:type="auto"/>
            <w:vMerge/>
            <w:tcBorders>
              <w:top w:val="nil"/>
              <w:left w:val="single" w:sz="8" w:space="0" w:color="DDDDDD"/>
              <w:bottom w:val="single" w:sz="8" w:space="0" w:color="DDDDDD"/>
              <w:right w:val="single" w:sz="8" w:space="0" w:color="DDDDDD"/>
            </w:tcBorders>
            <w:shd w:val="clear" w:color="auto" w:fill="FFFFFF"/>
            <w:vAlign w:val="center"/>
            <w:hideMark/>
          </w:tcPr>
          <w:p w:rsidR="007306F8" w:rsidRDefault="007306F8">
            <w:pPr>
              <w:rPr>
                <w:rFonts w:ascii="Roboto" w:hAnsi="Roboto"/>
                <w:color w:val="333333"/>
                <w:sz w:val="23"/>
                <w:szCs w:val="23"/>
                <w:lang w:eastAsia="es-AR"/>
              </w:rPr>
            </w:pP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Unicamente</w:t>
            </w:r>
            <w:proofErr w:type="spellEnd"/>
            <w:r>
              <w:rPr>
                <w:rFonts w:ascii="Roboto" w:hAnsi="Roboto"/>
                <w:color w:val="333333"/>
                <w:sz w:val="23"/>
                <w:szCs w:val="23"/>
                <w:lang w:eastAsia="es-AR"/>
              </w:rPr>
              <w:t xml:space="preserve"> motocicletas incompletas, totalmente desarmadas (IKD), en los términos de lo dispuesto por el Dec.460/23.</w:t>
            </w: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15%</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proofErr w:type="spellStart"/>
            <w:r>
              <w:rPr>
                <w:rFonts w:ascii="Roboto" w:hAnsi="Roboto"/>
                <w:color w:val="333333"/>
                <w:sz w:val="23"/>
                <w:szCs w:val="23"/>
                <w:lang w:eastAsia="es-AR"/>
              </w:rPr>
              <w:t>Unicamente</w:t>
            </w:r>
            <w:proofErr w:type="spellEnd"/>
            <w:r>
              <w:rPr>
                <w:rFonts w:ascii="Roboto" w:hAnsi="Roboto"/>
                <w:color w:val="333333"/>
                <w:sz w:val="23"/>
                <w:szCs w:val="23"/>
                <w:lang w:eastAsia="es-AR"/>
              </w:rPr>
              <w:t>: a) motocicletas y demás velocípedos incompletos, totalmente desarmados (IKD), no comprendidos en los términos de lo dispuesto por el Dec.460/23 y sus modificaciones; b) Completas, totalmente desarmadas (CKD)</w:t>
            </w: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 (LE) - MODIFICA TEXTO</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9406.20.00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lastRenderedPageBreak/>
              <w:t>9406.90.20</w:t>
            </w:r>
          </w:p>
        </w:tc>
        <w:tc>
          <w:tcPr>
            <w:tcW w:w="35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290"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12,6%</w:t>
            </w:r>
          </w:p>
        </w:tc>
        <w:tc>
          <w:tcPr>
            <w:tcW w:w="1585"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9F9F9"/>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BAJA</w:t>
            </w:r>
          </w:p>
        </w:tc>
      </w:tr>
      <w:tr w:rsidR="007306F8" w:rsidTr="007306F8">
        <w:tc>
          <w:tcPr>
            <w:tcW w:w="546" w:type="pct"/>
            <w:tcBorders>
              <w:top w:val="nil"/>
              <w:left w:val="single" w:sz="8" w:space="0" w:color="DDDDDD"/>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9504.50.00</w:t>
            </w:r>
          </w:p>
        </w:tc>
        <w:tc>
          <w:tcPr>
            <w:tcW w:w="35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20%</w:t>
            </w:r>
          </w:p>
        </w:tc>
        <w:tc>
          <w:tcPr>
            <w:tcW w:w="1290"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427"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jc w:val="center"/>
              <w:rPr>
                <w:rFonts w:ascii="Roboto" w:hAnsi="Roboto"/>
                <w:color w:val="333333"/>
                <w:sz w:val="23"/>
                <w:szCs w:val="23"/>
                <w:lang w:eastAsia="es-AR"/>
              </w:rPr>
            </w:pPr>
            <w:r>
              <w:rPr>
                <w:rFonts w:ascii="Roboto" w:hAnsi="Roboto"/>
                <w:color w:val="333333"/>
                <w:sz w:val="23"/>
                <w:szCs w:val="23"/>
                <w:lang w:eastAsia="es-AR"/>
              </w:rPr>
              <w:t>35%</w:t>
            </w:r>
          </w:p>
        </w:tc>
        <w:tc>
          <w:tcPr>
            <w:tcW w:w="1585"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rPr>
                <w:rFonts w:ascii="Times New Roman" w:eastAsia="Times New Roman" w:hAnsi="Times New Roman" w:cs="Times New Roman"/>
                <w:sz w:val="20"/>
                <w:szCs w:val="20"/>
                <w:lang w:eastAsia="es-AR"/>
              </w:rPr>
            </w:pPr>
          </w:p>
        </w:tc>
        <w:tc>
          <w:tcPr>
            <w:tcW w:w="794" w:type="pct"/>
            <w:tcBorders>
              <w:top w:val="nil"/>
              <w:left w:val="nil"/>
              <w:bottom w:val="single" w:sz="8" w:space="0" w:color="DDDDDD"/>
              <w:right w:val="single" w:sz="8" w:space="0" w:color="DDDDDD"/>
            </w:tcBorders>
            <w:shd w:val="clear" w:color="auto" w:fill="FFFFFF"/>
            <w:tcMar>
              <w:top w:w="120" w:type="dxa"/>
              <w:left w:w="120" w:type="dxa"/>
              <w:bottom w:w="120" w:type="dxa"/>
              <w:right w:w="120" w:type="dxa"/>
            </w:tcMar>
            <w:hideMark/>
          </w:tcPr>
          <w:p w:rsidR="007306F8" w:rsidRDefault="007306F8">
            <w:pPr>
              <w:spacing w:after="300"/>
              <w:rPr>
                <w:rFonts w:ascii="Roboto" w:hAnsi="Roboto"/>
                <w:color w:val="333333"/>
                <w:sz w:val="23"/>
                <w:szCs w:val="23"/>
                <w:lang w:eastAsia="es-AR"/>
              </w:rPr>
            </w:pPr>
            <w:r>
              <w:rPr>
                <w:rFonts w:ascii="Roboto" w:hAnsi="Roboto"/>
                <w:color w:val="333333"/>
                <w:sz w:val="23"/>
                <w:szCs w:val="23"/>
                <w:lang w:eastAsia="es-AR"/>
              </w:rPr>
              <w:t>III (BK diferencial) - ALTA</w:t>
            </w:r>
          </w:p>
        </w:tc>
      </w:tr>
    </w:tbl>
    <w:p w:rsidR="00FF6BF1" w:rsidRDefault="007306F8" w:rsidP="007306F8"/>
    <w:sectPr w:rsidR="00FF6BF1" w:rsidSect="007306F8">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F8"/>
    <w:rsid w:val="007306F8"/>
    <w:rsid w:val="009A1277"/>
    <w:rsid w:val="00EF6D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F8"/>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F8"/>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1284</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Oliva</dc:creator>
  <cp:lastModifiedBy>Adriana Oliva</cp:lastModifiedBy>
  <cp:revision>1</cp:revision>
  <dcterms:created xsi:type="dcterms:W3CDTF">2025-07-29T17:43:00Z</dcterms:created>
  <dcterms:modified xsi:type="dcterms:W3CDTF">2025-07-29T17:47:00Z</dcterms:modified>
</cp:coreProperties>
</file>